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A0" w:rsidRDefault="007107A0" w:rsidP="007107A0">
      <w:pPr>
        <w:spacing w:before="0" w:line="240" w:lineRule="auto"/>
        <w:jc w:val="center"/>
        <w:rPr>
          <w:b/>
        </w:rPr>
      </w:pPr>
      <w:r w:rsidRPr="003C35B5">
        <w:rPr>
          <w:b/>
        </w:rPr>
        <w:t xml:space="preserve">PUC DOCKET NO. </w:t>
      </w:r>
      <w:r>
        <w:rPr>
          <w:b/>
        </w:rPr>
        <w:t>45848</w:t>
      </w:r>
    </w:p>
    <w:p w:rsidR="007107A0" w:rsidRPr="003C35B5" w:rsidRDefault="007107A0" w:rsidP="007107A0">
      <w:pPr>
        <w:spacing w:before="0" w:line="240" w:lineRule="auto"/>
        <w:jc w:val="center"/>
        <w:rPr>
          <w:b/>
        </w:rPr>
      </w:pPr>
      <w:r>
        <w:rPr>
          <w:b/>
        </w:rPr>
        <w:t>SOAH</w:t>
      </w:r>
      <w:r w:rsidRPr="003C35B5">
        <w:rPr>
          <w:b/>
        </w:rPr>
        <w:t xml:space="preserve"> DOCKET NO. </w:t>
      </w:r>
      <w:r>
        <w:rPr>
          <w:b/>
        </w:rPr>
        <w:t>473-16-5011.WS</w:t>
      </w:r>
    </w:p>
    <w:p w:rsidR="007107A0" w:rsidRPr="003C35B5" w:rsidRDefault="007107A0" w:rsidP="007107A0">
      <w:pPr>
        <w:spacing w:before="0" w:line="240" w:lineRule="auto"/>
        <w:jc w:val="center"/>
        <w:rPr>
          <w:b/>
        </w:rPr>
      </w:pPr>
    </w:p>
    <w:p w:rsidR="007107A0" w:rsidRPr="003C35B5" w:rsidRDefault="007107A0" w:rsidP="007107A0">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7107A0" w:rsidRPr="003C35B5" w:rsidTr="00FD6ECC">
        <w:tc>
          <w:tcPr>
            <w:tcW w:w="4698" w:type="dxa"/>
          </w:tcPr>
          <w:p w:rsidR="007107A0" w:rsidRPr="00122F24" w:rsidRDefault="007107A0" w:rsidP="00FD6ECC">
            <w:pPr>
              <w:spacing w:before="0" w:line="240" w:lineRule="auto"/>
              <w:contextualSpacing/>
              <w:jc w:val="left"/>
              <w:rPr>
                <w:b/>
              </w:rPr>
            </w:pPr>
            <w:r>
              <w:rPr>
                <w:b/>
              </w:rPr>
              <w:t>CITY OF CELINA’S NOTICE OF INTENT TO PROVIDE WATER AND SEWER SERVICE TO AREA DECERTIFIED FROM AQUA TEXAS, INC. IN DENTON COUNTY</w:t>
            </w:r>
          </w:p>
        </w:tc>
        <w:tc>
          <w:tcPr>
            <w:tcW w:w="360" w:type="dxa"/>
          </w:tcPr>
          <w:p w:rsidR="007107A0" w:rsidRPr="000E502A" w:rsidRDefault="007107A0" w:rsidP="007107A0">
            <w:pPr>
              <w:spacing w:before="0" w:line="240" w:lineRule="auto"/>
              <w:ind w:right="576"/>
              <w:contextualSpacing/>
              <w:rPr>
                <w:b/>
              </w:rPr>
            </w:pPr>
            <w:r w:rsidRPr="000E502A">
              <w:rPr>
                <w:b/>
              </w:rPr>
              <w:t>§§§§§</w:t>
            </w:r>
          </w:p>
        </w:tc>
        <w:tc>
          <w:tcPr>
            <w:tcW w:w="4518" w:type="dxa"/>
          </w:tcPr>
          <w:p w:rsidR="007107A0" w:rsidRPr="000E502A" w:rsidRDefault="007107A0" w:rsidP="00FD6ECC">
            <w:pPr>
              <w:spacing w:before="0" w:line="240" w:lineRule="auto"/>
              <w:contextualSpacing/>
              <w:jc w:val="center"/>
              <w:rPr>
                <w:b/>
              </w:rPr>
            </w:pPr>
            <w:r w:rsidRPr="000E502A">
              <w:rPr>
                <w:b/>
              </w:rPr>
              <w:t>PUBLIC UTILITY COMMISSION</w:t>
            </w:r>
          </w:p>
          <w:p w:rsidR="007107A0" w:rsidRPr="000E502A" w:rsidRDefault="007107A0" w:rsidP="00FD6ECC">
            <w:pPr>
              <w:spacing w:before="0" w:line="240" w:lineRule="auto"/>
              <w:contextualSpacing/>
              <w:jc w:val="center"/>
              <w:rPr>
                <w:b/>
              </w:rPr>
            </w:pPr>
          </w:p>
          <w:p w:rsidR="007107A0" w:rsidRPr="000E502A" w:rsidRDefault="007107A0" w:rsidP="00FD6ECC">
            <w:pPr>
              <w:spacing w:before="0" w:line="240" w:lineRule="auto"/>
              <w:contextualSpacing/>
              <w:jc w:val="center"/>
              <w:rPr>
                <w:b/>
              </w:rPr>
            </w:pPr>
            <w:r w:rsidRPr="000E502A">
              <w:rPr>
                <w:b/>
              </w:rPr>
              <w:t>OF TEXAS</w:t>
            </w:r>
          </w:p>
        </w:tc>
      </w:tr>
    </w:tbl>
    <w:p w:rsidR="007107A0" w:rsidRPr="003C35B5" w:rsidRDefault="007107A0" w:rsidP="007107A0">
      <w:pPr>
        <w:spacing w:before="0" w:line="240" w:lineRule="auto"/>
        <w:jc w:val="center"/>
        <w:rPr>
          <w:b/>
        </w:rPr>
      </w:pPr>
    </w:p>
    <w:p w:rsidR="007107A0" w:rsidRPr="003C35B5" w:rsidRDefault="007107A0" w:rsidP="007107A0">
      <w:pPr>
        <w:spacing w:before="0" w:line="240" w:lineRule="auto"/>
        <w:rPr>
          <w:b/>
        </w:rPr>
      </w:pPr>
    </w:p>
    <w:p w:rsidR="007107A0" w:rsidRPr="003C35B5" w:rsidRDefault="007107A0" w:rsidP="007107A0">
      <w:pPr>
        <w:spacing w:before="0"/>
        <w:jc w:val="center"/>
      </w:pPr>
      <w:r>
        <w:rPr>
          <w:b/>
        </w:rPr>
        <w:t xml:space="preserve">DRAFT </w:t>
      </w:r>
      <w:r w:rsidRPr="003C35B5">
        <w:rPr>
          <w:b/>
        </w:rPr>
        <w:t>PRELIMINARY ORDER</w:t>
      </w:r>
    </w:p>
    <w:p w:rsidR="007107A0" w:rsidRPr="003C35B5" w:rsidRDefault="007107A0" w:rsidP="007107A0">
      <w:pPr>
        <w:spacing w:before="0"/>
        <w:jc w:val="center"/>
        <w:rPr>
          <w:b/>
        </w:rPr>
      </w:pPr>
    </w:p>
    <w:p w:rsidR="00AE662B" w:rsidRPr="00085C6E" w:rsidRDefault="007107A0" w:rsidP="00085C6E">
      <w:pPr>
        <w:pStyle w:val="BodyText"/>
      </w:pPr>
      <w:r w:rsidRPr="003C35B5">
        <w:rPr>
          <w:b/>
        </w:rPr>
        <w:tab/>
      </w:r>
      <w:r w:rsidR="00AE662B" w:rsidRPr="00085C6E">
        <w:t xml:space="preserve">On April 12, 2016, the city of Celina filed notice of its intent to provide retail water and sewer service to an approximately 128-acre tract of land that was decertified from Aqua Texas, Inc.’s water certificate of convenience and necessity (CCN) </w:t>
      </w:r>
      <w:r w:rsidR="00DF4C56">
        <w:t xml:space="preserve">13201 and sewer CCN </w:t>
      </w:r>
      <w:r w:rsidR="000061ED">
        <w:t xml:space="preserve">21509 in Docket </w:t>
      </w:r>
      <w:r w:rsidR="00AE662B" w:rsidRPr="00085C6E">
        <w:t>No. 45329.</w:t>
      </w:r>
      <w:r w:rsidR="00AE662B" w:rsidRPr="00FE77C2">
        <w:rPr>
          <w:rStyle w:val="FootnoteReference"/>
          <w:position w:val="0"/>
          <w:sz w:val="24"/>
          <w:vertAlign w:val="superscript"/>
        </w:rPr>
        <w:footnoteReference w:id="1"/>
      </w:r>
      <w:r w:rsidR="00085C6E" w:rsidRPr="00085C6E">
        <w:t xml:space="preserve">  Celina’s notice filing automatically initiated this proceeding for a determination of what compensation, if any, is owed to Aqua for </w:t>
      </w:r>
      <w:r w:rsidR="009629F2">
        <w:t>propert</w:t>
      </w:r>
      <w:r w:rsidR="00085C6E" w:rsidRPr="00085C6E">
        <w:t>y rendered useless and valueless.</w:t>
      </w:r>
      <w:r w:rsidR="009338C1">
        <w:rPr>
          <w:rStyle w:val="FootnoteReference"/>
        </w:rPr>
        <w:footnoteReference w:id="2"/>
      </w:r>
    </w:p>
    <w:p w:rsidR="00085C6E" w:rsidRDefault="00085C6E" w:rsidP="00085C6E">
      <w:pPr>
        <w:pStyle w:val="BodyText"/>
      </w:pPr>
      <w:r>
        <w:tab/>
        <w:t>On April 14, 2016, the Commission</w:t>
      </w:r>
      <w:r w:rsidR="005363FC">
        <w:t>’s</w:t>
      </w:r>
      <w:r>
        <w:t xml:space="preserve"> administrative law judge (ALJ) issued an order requiring Celina and Aqua to </w:t>
      </w:r>
      <w:r w:rsidR="00F86DC2">
        <w:t>inform</w:t>
      </w:r>
      <w:r>
        <w:t xml:space="preserve"> the Commission by April 22, 2016</w:t>
      </w:r>
      <w:r w:rsidR="00501480">
        <w:t xml:space="preserve"> of</w:t>
      </w:r>
      <w:r>
        <w:t xml:space="preserve"> whether they had agreed on an independent appraiser.  On April 22, 2016, Celina filed notice that the parties were not able to agree on a si</w:t>
      </w:r>
      <w:r w:rsidR="00F86DC2">
        <w:t>ngle appraiser.  On the same day, Aqua moved to intervene in the case and also notified the Commission ALJ that the parties could not agree on a single appraiser and would therefore be filing separate appraisals.  On April 25, 2016, the Commission ALJ issued an order requiring Celina and Aqua to submit their appraisals by June 13, 2016.  On June 13, Celina and Aqua each filed an appraisal.</w:t>
      </w:r>
      <w:r w:rsidR="00095DBC">
        <w:t xml:space="preserve">  The appraisal submitted by Celina assigned a value of $38,000 to the property associated with Aqua’s water and sewer certificated area.</w:t>
      </w:r>
      <w:r w:rsidR="00095DBC">
        <w:rPr>
          <w:rStyle w:val="FootnoteReference"/>
        </w:rPr>
        <w:footnoteReference w:id="3"/>
      </w:r>
      <w:r w:rsidR="00095DBC">
        <w:t xml:space="preserve">  The appraisal submitted by Aqua determined that Aqua was owed $985,946 in compensation.</w:t>
      </w:r>
      <w:r w:rsidR="00095DBC">
        <w:rPr>
          <w:rStyle w:val="FootnoteReference"/>
        </w:rPr>
        <w:footnoteReference w:id="4"/>
      </w:r>
      <w:r w:rsidR="009338C1">
        <w:t xml:space="preserve">  On July 6, 2016, </w:t>
      </w:r>
      <w:r w:rsidR="00095DBC">
        <w:t>a third-</w:t>
      </w:r>
      <w:r w:rsidR="00095DBC">
        <w:lastRenderedPageBreak/>
        <w:t xml:space="preserve">party appraisal </w:t>
      </w:r>
      <w:r w:rsidR="009338C1">
        <w:t>valuing the property at $69,839 was filed after being prepared at the request of the Commission.</w:t>
      </w:r>
      <w:r w:rsidR="009338C1">
        <w:rPr>
          <w:rStyle w:val="FootnoteReference"/>
        </w:rPr>
        <w:footnoteReference w:id="5"/>
      </w:r>
      <w:r w:rsidR="00E8616C">
        <w:t xml:space="preserve">  On July 7, 2016, the Commission referred this case to the State Office of Administrative Hearings (SOAH).</w:t>
      </w:r>
    </w:p>
    <w:p w:rsidR="009338C1" w:rsidRDefault="004E09C4" w:rsidP="00085C6E">
      <w:pPr>
        <w:pStyle w:val="BodyText"/>
      </w:pPr>
      <w:r>
        <w:tab/>
      </w:r>
      <w:r w:rsidR="00323E4D">
        <w:t xml:space="preserve">Although </w:t>
      </w:r>
      <w:r>
        <w:t>appraisals have already</w:t>
      </w:r>
      <w:r w:rsidR="00323E4D">
        <w:t xml:space="preserve"> been submitted in this matter, </w:t>
      </w:r>
      <w:r>
        <w:t>it is not clear that t</w:t>
      </w:r>
      <w:r w:rsidR="00323E4D">
        <w:t>he</w:t>
      </w:r>
      <w:r>
        <w:t xml:space="preserve"> appraisals are limited to valuing property that was rendered useless or valueless due to the decertification.  That is not surprising given that the Commission has not yet identified that property.  Aft</w:t>
      </w:r>
      <w:r w:rsidR="00A705AE">
        <w:t xml:space="preserve">er the Commission identifies </w:t>
      </w:r>
      <w:r>
        <w:t>what property has been rendered useless or valueless, the appraisal process ma</w:t>
      </w:r>
      <w:r w:rsidR="00E8616C">
        <w:t>y</w:t>
      </w:r>
      <w:r>
        <w:t xml:space="preserve"> be concluded.</w:t>
      </w:r>
      <w:r w:rsidR="009338C1">
        <w:tab/>
      </w:r>
      <w:r w:rsidR="00CB0544">
        <w:t xml:space="preserve"> </w:t>
      </w:r>
    </w:p>
    <w:p w:rsidR="007107A0" w:rsidRPr="009338C1" w:rsidRDefault="007107A0" w:rsidP="007107A0">
      <w:pPr>
        <w:spacing w:before="120"/>
        <w:ind w:firstLine="720"/>
      </w:pPr>
      <w:r w:rsidRPr="009338C1">
        <w:t xml:space="preserve">This is the </w:t>
      </w:r>
      <w:r w:rsidR="009338C1" w:rsidRPr="009338C1">
        <w:t xml:space="preserve">one of the </w:t>
      </w:r>
      <w:r w:rsidRPr="009338C1">
        <w:t>first case</w:t>
      </w:r>
      <w:r w:rsidR="009338C1" w:rsidRPr="009338C1">
        <w:t>s</w:t>
      </w:r>
      <w:r w:rsidRPr="009338C1">
        <w:t xml:space="preserve"> of thi</w:t>
      </w:r>
      <w:r w:rsidR="001169BE">
        <w:t>s type to be referred to SOAH.</w:t>
      </w:r>
      <w:r w:rsidR="0091618D">
        <w:rPr>
          <w:rStyle w:val="FootnoteReference"/>
        </w:rPr>
        <w:footnoteReference w:id="6"/>
      </w:r>
      <w:r w:rsidR="001169BE">
        <w:t xml:space="preserve">  </w:t>
      </w:r>
      <w:r w:rsidRPr="009338C1">
        <w:t xml:space="preserve">While it is unlikely that SOAH can complete a hearing and issue a proposal for decision (PFD) within the directory 90-day timeframe provided </w:t>
      </w:r>
      <w:r w:rsidR="00323E4D">
        <w:t>by Texas Water Code (TWC) § 13.254(e)</w:t>
      </w:r>
      <w:r w:rsidRPr="009338C1">
        <w:t>, the Commission requests that the case be exp</w:t>
      </w:r>
      <w:r w:rsidR="001169BE">
        <w:t xml:space="preserve">edited to the extent possible.  </w:t>
      </w:r>
      <w:r w:rsidRPr="009338C1">
        <w:t xml:space="preserve">After appropriate discovery, the SOAH ALJ should hold a hearing </w:t>
      </w:r>
      <w:r w:rsidR="004E09C4">
        <w:t xml:space="preserve">on the first phase of this docket and determine </w:t>
      </w:r>
      <w:r w:rsidRPr="009338C1">
        <w:t>what property has been rendered useless or valueless</w:t>
      </w:r>
      <w:r w:rsidR="001169BE">
        <w:t xml:space="preserve">.  </w:t>
      </w:r>
      <w:r w:rsidR="004E09C4">
        <w:t xml:space="preserve">The ALJ </w:t>
      </w:r>
      <w:r w:rsidRPr="009338C1">
        <w:t>should issue a PFD on that issue</w:t>
      </w:r>
      <w:r w:rsidR="004E09C4">
        <w:t xml:space="preserve"> </w:t>
      </w:r>
      <w:r w:rsidR="00323E4D">
        <w:t>to allow</w:t>
      </w:r>
      <w:r w:rsidR="004E09C4">
        <w:t xml:space="preserve"> the Commission to make the determination that</w:t>
      </w:r>
      <w:r w:rsidRPr="009338C1">
        <w:t xml:space="preserve"> is required </w:t>
      </w:r>
      <w:r w:rsidR="004E09C4">
        <w:t>under TWC § 13.254(d): what property has been rendered useless or valueless as a result of the decertification.</w:t>
      </w:r>
      <w:r w:rsidR="001169BE">
        <w:t xml:space="preserve">  </w:t>
      </w:r>
      <w:r w:rsidRPr="009338C1">
        <w:t>The</w:t>
      </w:r>
      <w:r w:rsidR="001169BE">
        <w:t xml:space="preserve"> </w:t>
      </w:r>
      <w:r w:rsidRPr="009338C1">
        <w:t xml:space="preserve">Commission will then issue an interim order </w:t>
      </w:r>
      <w:r w:rsidR="004E09C4">
        <w:t>to memorialize that determination.</w:t>
      </w:r>
      <w:r w:rsidRPr="009338C1">
        <w:t xml:space="preserve">  </w:t>
      </w:r>
    </w:p>
    <w:p w:rsidR="00F2363A" w:rsidRDefault="007107A0" w:rsidP="007107A0">
      <w:pPr>
        <w:spacing w:before="120"/>
        <w:ind w:firstLine="720"/>
      </w:pPr>
      <w:r w:rsidRPr="009338C1">
        <w:t xml:space="preserve">After the Commission issues the interim order, there will be a determination of compensation based on </w:t>
      </w:r>
      <w:r w:rsidR="000061ED">
        <w:t xml:space="preserve">the </w:t>
      </w:r>
      <w:r w:rsidR="004E09C4">
        <w:t xml:space="preserve">value of </w:t>
      </w:r>
      <w:r w:rsidRPr="009338C1">
        <w:t>the property</w:t>
      </w:r>
      <w:r w:rsidR="004E09C4">
        <w:t xml:space="preserve"> the Commission has</w:t>
      </w:r>
      <w:r w:rsidRPr="009338C1">
        <w:t xml:space="preserve"> determined to </w:t>
      </w:r>
      <w:r w:rsidR="004E09C4">
        <w:t xml:space="preserve">have </w:t>
      </w:r>
      <w:r w:rsidRPr="009338C1">
        <w:t>be</w:t>
      </w:r>
      <w:r w:rsidR="004E09C4">
        <w:t>en</w:t>
      </w:r>
      <w:r w:rsidRPr="009338C1">
        <w:t xml:space="preserve"> rendered useless or valueless.  If</w:t>
      </w:r>
      <w:r w:rsidR="00A705AE">
        <w:t xml:space="preserve"> additional appraisals are necessary and if the Commission appoints a third-party </w:t>
      </w:r>
      <w:r w:rsidRPr="009338C1">
        <w:t>appraiser under TWC § 13.254(g-1)</w:t>
      </w:r>
      <w:r w:rsidR="00A705AE">
        <w:t xml:space="preserve"> because the</w:t>
      </w:r>
      <w:r w:rsidR="00A705AE" w:rsidRPr="009338C1">
        <w:t xml:space="preserve"> parties </w:t>
      </w:r>
      <w:r w:rsidR="00A705AE">
        <w:t>are unable</w:t>
      </w:r>
      <w:r w:rsidR="00323E4D">
        <w:t xml:space="preserve"> agree on a single</w:t>
      </w:r>
      <w:r w:rsidR="00A705AE" w:rsidRPr="009338C1">
        <w:t xml:space="preserve"> appraiser</w:t>
      </w:r>
      <w:r w:rsidR="00A705AE">
        <w:t xml:space="preserve">, then the </w:t>
      </w:r>
      <w:r w:rsidRPr="009338C1">
        <w:t xml:space="preserve">case may be returned to SOAH for a </w:t>
      </w:r>
      <w:r w:rsidR="004E09C4">
        <w:t>hearing on the second phase of this matter</w:t>
      </w:r>
      <w:r w:rsidRPr="009338C1">
        <w:t>, particularly if the compensation determination is contested and becomes a fact-intensive inquiry.  If the case is returned to SOAH for a second phase, the Commission will issue a supplemental preliminary order addressing that phase.</w:t>
      </w:r>
    </w:p>
    <w:p w:rsidR="00FE77C2" w:rsidRPr="009338C1" w:rsidRDefault="00FE77C2" w:rsidP="007107A0">
      <w:pPr>
        <w:spacing w:before="120"/>
        <w:ind w:firstLine="720"/>
      </w:pPr>
      <w:bookmarkStart w:id="0" w:name="_GoBack"/>
      <w:bookmarkEnd w:id="0"/>
      <w:r>
        <w:lastRenderedPageBreak/>
        <w:t>After conclusion of the second phase, whether or not the second phase is referred back to SOAH, the Commission will issue a final order regarding compensation for property rendered useless or valueless as a result of the decertification.</w:t>
      </w:r>
    </w:p>
    <w:p w:rsidR="007107A0" w:rsidRPr="003C35B5" w:rsidRDefault="007107A0" w:rsidP="007107A0">
      <w:pPr>
        <w:jc w:val="center"/>
      </w:pPr>
      <w:r w:rsidRPr="003C35B5">
        <w:rPr>
          <w:b/>
        </w:rPr>
        <w:t xml:space="preserve">I.  </w:t>
      </w:r>
      <w:r>
        <w:rPr>
          <w:b/>
        </w:rPr>
        <w:t>Issues</w:t>
      </w:r>
      <w:r w:rsidRPr="003C35B5">
        <w:rPr>
          <w:b/>
        </w:rPr>
        <w:t xml:space="preserve"> to be Addressed</w:t>
      </w:r>
    </w:p>
    <w:p w:rsidR="007107A0" w:rsidRPr="003C35B5" w:rsidRDefault="007107A0" w:rsidP="007107A0">
      <w:pPr>
        <w:spacing w:before="0"/>
      </w:pPr>
      <w:r w:rsidRPr="003C35B5">
        <w:tab/>
        <w:t>After reviewing the pleadings submitted by the parties, the Commission</w:t>
      </w:r>
      <w:r>
        <w:t xml:space="preserve"> identifies the following issues</w:t>
      </w:r>
      <w:r w:rsidRPr="003C35B5">
        <w:t xml:space="preserve"> that must be addressed in this docket:</w:t>
      </w:r>
    </w:p>
    <w:p w:rsidR="007107A0" w:rsidRDefault="007107A0" w:rsidP="007107A0">
      <w:pPr>
        <w:pStyle w:val="ItemList"/>
        <w:numPr>
          <w:ilvl w:val="0"/>
          <w:numId w:val="1"/>
        </w:numPr>
        <w:spacing w:before="240"/>
        <w:ind w:left="720" w:hanging="720"/>
      </w:pPr>
      <w:r>
        <w:t xml:space="preserve">What property, if any, has been rendered useless or valueless to </w:t>
      </w:r>
      <w:r w:rsidR="00FE77C2">
        <w:t xml:space="preserve">Aqua </w:t>
      </w:r>
      <w:r>
        <w:t>by the decer</w:t>
      </w:r>
      <w:r w:rsidR="00FE77C2">
        <w:t>tification granted in Docket No. </w:t>
      </w:r>
      <w:r w:rsidR="00FE77C2" w:rsidRPr="00085C6E">
        <w:t>45329</w:t>
      </w:r>
      <w:r w:rsidR="00FE77C2" w:rsidRPr="00FE77C2">
        <w:rPr>
          <w:rStyle w:val="FootnoteReference"/>
          <w:position w:val="0"/>
          <w:sz w:val="24"/>
          <w:vertAlign w:val="superscript"/>
        </w:rPr>
        <w:footnoteReference w:id="7"/>
      </w:r>
      <w:r>
        <w:t>?  TWC § 13.254(d); 16 TAC § 24.113(h).</w:t>
      </w:r>
    </w:p>
    <w:p w:rsidR="007107A0" w:rsidRPr="003C35B5" w:rsidRDefault="007107A0" w:rsidP="007107A0">
      <w:pPr>
        <w:pStyle w:val="ItemList"/>
        <w:numPr>
          <w:ilvl w:val="0"/>
          <w:numId w:val="1"/>
        </w:numPr>
        <w:spacing w:before="240"/>
        <w:ind w:left="720" w:hanging="720"/>
      </w:pPr>
      <w:r>
        <w:t>Are the existing appraisals limited to property that has been determined to have been rendered useless or valueless by decertification?</w:t>
      </w:r>
    </w:p>
    <w:p w:rsidR="007107A0" w:rsidRDefault="007107A0" w:rsidP="007107A0">
      <w:r w:rsidRPr="003C35B5">
        <w:tab/>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reserves the right to identify and provide to the ALJ in the future any additional issues or areas that must be addressed</w:t>
      </w:r>
      <w:r>
        <w:t>.</w:t>
      </w:r>
    </w:p>
    <w:p w:rsidR="009A369B" w:rsidRPr="001C71A5" w:rsidRDefault="009A369B" w:rsidP="009A369B">
      <w:pPr>
        <w:jc w:val="center"/>
      </w:pPr>
      <w:r w:rsidRPr="001C71A5">
        <w:rPr>
          <w:b/>
        </w:rPr>
        <w:t>II</w:t>
      </w:r>
      <w:r>
        <w:rPr>
          <w:b/>
        </w:rPr>
        <w:t>.</w:t>
      </w:r>
      <w:r w:rsidRPr="001C71A5">
        <w:rPr>
          <w:b/>
        </w:rPr>
        <w:t xml:space="preserve"> </w:t>
      </w:r>
      <w:r>
        <w:rPr>
          <w:b/>
        </w:rPr>
        <w:t>Issue</w:t>
      </w:r>
      <w:r w:rsidRPr="001C71A5">
        <w:rPr>
          <w:b/>
        </w:rPr>
        <w:t xml:space="preserve"> Not to be Addressed</w:t>
      </w:r>
    </w:p>
    <w:p w:rsidR="009A369B" w:rsidRDefault="009A369B" w:rsidP="009A369B">
      <w:r w:rsidRPr="001C71A5">
        <w:tab/>
        <w:t>The Commission takes the position that the following issue need not be addressed in this proc</w:t>
      </w:r>
      <w:r>
        <w:t>eeding for the reasons stated.</w:t>
      </w:r>
    </w:p>
    <w:p w:rsidR="009A369B" w:rsidRDefault="009A369B" w:rsidP="00F22336">
      <w:pPr>
        <w:pStyle w:val="ListParagraph"/>
        <w:numPr>
          <w:ilvl w:val="0"/>
          <w:numId w:val="3"/>
        </w:numPr>
        <w:spacing w:after="240"/>
        <w:ind w:hanging="720"/>
      </w:pPr>
      <w:r>
        <w:t>Whether the Commission may refer this docket to SOAH.</w:t>
      </w:r>
    </w:p>
    <w:p w:rsidR="009A369B" w:rsidRDefault="009A369B" w:rsidP="009A369B">
      <w:pPr>
        <w:spacing w:before="0"/>
        <w:ind w:firstLine="720"/>
      </w:pPr>
      <w:r>
        <w:t xml:space="preserve">The Commission is tasked with making a determination of what property has been rendered useless or valueless by decertification.  In order to properly make this fact-intensive determination, the Commission has decided that it needs to refer the matter to SOAH for a hearing.  </w:t>
      </w:r>
    </w:p>
    <w:p w:rsidR="00CA6CFE" w:rsidRDefault="00CA6CFE" w:rsidP="009A369B">
      <w:pPr>
        <w:jc w:val="center"/>
        <w:rPr>
          <w:b/>
        </w:rPr>
      </w:pPr>
    </w:p>
    <w:p w:rsidR="009A369B" w:rsidRPr="003C35B5" w:rsidRDefault="009A369B" w:rsidP="009A369B">
      <w:pPr>
        <w:jc w:val="center"/>
      </w:pPr>
      <w:r>
        <w:rPr>
          <w:b/>
        </w:rPr>
        <w:lastRenderedPageBreak/>
        <w:t xml:space="preserve">III. </w:t>
      </w:r>
      <w:r w:rsidRPr="003C35B5">
        <w:rPr>
          <w:b/>
        </w:rPr>
        <w:t>Effect of Preliminary Order</w:t>
      </w:r>
    </w:p>
    <w:p w:rsidR="00907668" w:rsidRPr="003C35B5" w:rsidRDefault="009A369B" w:rsidP="00907668">
      <w:r w:rsidRPr="003C35B5">
        <w:tab/>
      </w:r>
      <w:r w:rsidR="00907668" w:rsidRPr="003C35B5">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80A15" w:rsidRDefault="00180A15" w:rsidP="007107A0"/>
    <w:p w:rsidR="007107A0"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172AA8"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3C35B5"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Pr>
          <w:b/>
        </w:rPr>
        <w:t>July 2016</w:t>
      </w:r>
      <w:r w:rsidRPr="003C35B5">
        <w:rPr>
          <w:b/>
        </w:rPr>
        <w:t>.</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7107A0" w:rsidRPr="00172AA8" w:rsidRDefault="007107A0" w:rsidP="007107A0">
      <w:pPr>
        <w:spacing w:before="0" w:line="240" w:lineRule="auto"/>
        <w:rPr>
          <w:b/>
          <w:sz w:val="16"/>
          <w:szCs w:val="16"/>
        </w:rPr>
      </w:pPr>
    </w:p>
    <w:p w:rsidR="007107A0" w:rsidRPr="003C35B5" w:rsidRDefault="007107A0" w:rsidP="007107A0">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7D6D1F">
        <w:rPr>
          <w:noProof/>
          <w:sz w:val="16"/>
          <w:szCs w:val="16"/>
        </w:rPr>
        <w:t>q:\cadm\orders\prelim\45000\45848 dpo.docx</w:t>
      </w:r>
      <w:r w:rsidRPr="00172AA8">
        <w:rPr>
          <w:sz w:val="16"/>
          <w:szCs w:val="16"/>
        </w:rPr>
        <w:fldChar w:fldCharType="end"/>
      </w:r>
      <w:r w:rsidRPr="003C35B5">
        <w:rPr>
          <w:sz w:val="16"/>
        </w:rPr>
        <w:t xml:space="preserve">  </w:t>
      </w:r>
    </w:p>
    <w:sectPr w:rsidR="007107A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7A0" w:rsidRDefault="007107A0" w:rsidP="007107A0">
      <w:pPr>
        <w:spacing w:before="0" w:line="240" w:lineRule="auto"/>
      </w:pPr>
      <w:r>
        <w:separator/>
      </w:r>
    </w:p>
  </w:endnote>
  <w:endnote w:type="continuationSeparator" w:id="0">
    <w:p w:rsidR="007107A0" w:rsidRDefault="007107A0" w:rsidP="007107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CA17E5"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CA17E5"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7A0" w:rsidRDefault="007107A0" w:rsidP="007107A0">
      <w:pPr>
        <w:spacing w:before="0" w:line="240" w:lineRule="auto"/>
      </w:pPr>
      <w:r>
        <w:separator/>
      </w:r>
    </w:p>
  </w:footnote>
  <w:footnote w:type="continuationSeparator" w:id="0">
    <w:p w:rsidR="007107A0" w:rsidRDefault="007107A0" w:rsidP="007107A0">
      <w:pPr>
        <w:spacing w:before="0" w:line="240" w:lineRule="auto"/>
      </w:pPr>
      <w:r>
        <w:continuationSeparator/>
      </w:r>
    </w:p>
  </w:footnote>
  <w:footnote w:id="1">
    <w:p w:rsidR="00AE662B" w:rsidRPr="00AE662B" w:rsidRDefault="00AE662B" w:rsidP="00CA6CFE">
      <w:pPr>
        <w:pStyle w:val="FootnoteText"/>
        <w:spacing w:before="0"/>
      </w:pPr>
      <w:r>
        <w:rPr>
          <w:rStyle w:val="FootnoteReference"/>
        </w:rPr>
        <w:footnoteRef/>
      </w:r>
      <w:r>
        <w:t xml:space="preserve"> </w:t>
      </w:r>
      <w:r>
        <w:rPr>
          <w:i/>
        </w:rPr>
        <w:t>Petition of CADG Sutton Fields II, LLC to Amend Aqua Texas, Inc.’s Certificates of Convenience and Necessity in Denton County by Expedited Release</w:t>
      </w:r>
      <w:r w:rsidR="00085C6E">
        <w:t xml:space="preserve">, Docket No. 45329 </w:t>
      </w:r>
      <w:r>
        <w:t>(Mar. 22, 2016).</w:t>
      </w:r>
    </w:p>
  </w:footnote>
  <w:footnote w:id="2">
    <w:p w:rsidR="009338C1" w:rsidRPr="009338C1" w:rsidRDefault="009338C1">
      <w:pPr>
        <w:pStyle w:val="FootnoteText"/>
      </w:pPr>
      <w:r>
        <w:rPr>
          <w:rStyle w:val="FootnoteReference"/>
        </w:rPr>
        <w:footnoteRef/>
      </w:r>
      <w:r>
        <w:t xml:space="preserve"> </w:t>
      </w:r>
      <w:r w:rsidR="000061ED">
        <w:t xml:space="preserve">TWC § 13.254(d); 16 </w:t>
      </w:r>
      <w:r>
        <w:t>TAC § 24.113(i).</w:t>
      </w:r>
    </w:p>
  </w:footnote>
  <w:footnote w:id="3">
    <w:p w:rsidR="00095DBC" w:rsidRDefault="00095DBC">
      <w:pPr>
        <w:pStyle w:val="FootnoteText"/>
      </w:pPr>
      <w:r>
        <w:rPr>
          <w:rStyle w:val="FootnoteReference"/>
        </w:rPr>
        <w:footnoteRef/>
      </w:r>
      <w:r>
        <w:t xml:space="preserve"> City of Celina</w:t>
      </w:r>
      <w:r w:rsidR="00680529">
        <w:t>’s Appraisal</w:t>
      </w:r>
      <w:r>
        <w:t xml:space="preserve"> at 2 (Jun. 13, 2016).</w:t>
      </w:r>
    </w:p>
  </w:footnote>
  <w:footnote w:id="4">
    <w:p w:rsidR="00095DBC" w:rsidRDefault="00095DBC">
      <w:pPr>
        <w:pStyle w:val="FootnoteText"/>
      </w:pPr>
      <w:r>
        <w:rPr>
          <w:rStyle w:val="FootnoteReference"/>
        </w:rPr>
        <w:footnoteRef/>
      </w:r>
      <w:r>
        <w:t xml:space="preserve"> Aqua’</w:t>
      </w:r>
      <w:r w:rsidR="00037293">
        <w:t>s</w:t>
      </w:r>
      <w:r>
        <w:t xml:space="preserve"> Appraisal at 1 (Jun. 13, 2016).</w:t>
      </w:r>
    </w:p>
  </w:footnote>
  <w:footnote w:id="5">
    <w:p w:rsidR="009338C1" w:rsidRDefault="009338C1" w:rsidP="00CA6CFE">
      <w:pPr>
        <w:pStyle w:val="FootnoteText"/>
        <w:spacing w:before="0"/>
      </w:pPr>
      <w:r>
        <w:rPr>
          <w:rStyle w:val="FootnoteReference"/>
        </w:rPr>
        <w:footnoteRef/>
      </w:r>
      <w:r>
        <w:t xml:space="preserve"> Third Party Appraisal by B&amp;D Environmental, Inc. at 5 (Jul. 7, 2016).</w:t>
      </w:r>
    </w:p>
  </w:footnote>
  <w:footnote w:id="6">
    <w:p w:rsidR="0091618D" w:rsidRPr="0091618D" w:rsidRDefault="0091618D">
      <w:pPr>
        <w:pStyle w:val="FootnoteText"/>
      </w:pPr>
      <w:r>
        <w:rPr>
          <w:rStyle w:val="FootnoteReference"/>
        </w:rPr>
        <w:footnoteRef/>
      </w:r>
      <w:r>
        <w:t xml:space="preserve"> </w:t>
      </w:r>
      <w:r>
        <w:rPr>
          <w:i/>
        </w:rPr>
        <w:t>See Zipp Road Utility Company, LLC’s Notice of Intent to Provide Sewer Service to Area Decertified from Guadalupe-Blanco River Authority in Guadalupe County</w:t>
      </w:r>
      <w:r>
        <w:t>, Docket No. 45679, Order On Rehearing (Jul. 7, 2016).</w:t>
      </w:r>
    </w:p>
  </w:footnote>
  <w:footnote w:id="7">
    <w:p w:rsidR="00FE77C2" w:rsidRPr="00AE662B" w:rsidRDefault="00FE77C2" w:rsidP="00CA6CFE">
      <w:pPr>
        <w:pStyle w:val="FootnoteText"/>
        <w:spacing w:before="0"/>
      </w:pPr>
      <w:r>
        <w:rPr>
          <w:rStyle w:val="FootnoteReference"/>
        </w:rPr>
        <w:footnoteRef/>
      </w:r>
      <w:r>
        <w:t xml:space="preserve"> </w:t>
      </w:r>
      <w:r>
        <w:rPr>
          <w:i/>
        </w:rPr>
        <w:t>Petition of CADG Sutton Fields II, LLC to Amend Aqua Texas, Inc.’s Certificates of Convenience and Necessity in Denton County by Expedited Release</w:t>
      </w:r>
      <w:r>
        <w:t>, Docket No. 45329 (Mar. 22,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A0" w:rsidRPr="007107A0" w:rsidRDefault="007107A0" w:rsidP="007107A0">
    <w:pPr>
      <w:pStyle w:val="Header"/>
      <w:spacing w:before="0" w:line="240" w:lineRule="auto"/>
      <w:rPr>
        <w:sz w:val="20"/>
      </w:rPr>
    </w:pPr>
    <w:r w:rsidRPr="007107A0">
      <w:rPr>
        <w:sz w:val="20"/>
      </w:rPr>
      <w:t>PUC Docket No. 458</w:t>
    </w:r>
    <w:r>
      <w:rPr>
        <w:sz w:val="20"/>
      </w:rPr>
      <w:t>48</w:t>
    </w:r>
    <w:r w:rsidRPr="007107A0">
      <w:rPr>
        <w:sz w:val="20"/>
      </w:rPr>
      <w:tab/>
    </w:r>
    <w:r>
      <w:rPr>
        <w:sz w:val="20"/>
      </w:rPr>
      <w:t xml:space="preserve">Draft </w:t>
    </w:r>
    <w:r w:rsidR="0091445F">
      <w:rPr>
        <w:sz w:val="20"/>
      </w:rPr>
      <w:t>Preliminary Order</w:t>
    </w:r>
    <w:r w:rsidR="0091445F">
      <w:rPr>
        <w:sz w:val="20"/>
      </w:rPr>
      <w:tab/>
    </w:r>
    <w:r w:rsidR="0091445F" w:rsidRPr="00D07FE4">
      <w:rPr>
        <w:sz w:val="20"/>
      </w:rPr>
      <w:t xml:space="preserve">Page </w:t>
    </w:r>
    <w:r w:rsidR="0091445F" w:rsidRPr="00D07FE4">
      <w:rPr>
        <w:rStyle w:val="PageNumber"/>
        <w:sz w:val="20"/>
      </w:rPr>
      <w:fldChar w:fldCharType="begin"/>
    </w:r>
    <w:r w:rsidR="0091445F" w:rsidRPr="00D07FE4">
      <w:rPr>
        <w:rStyle w:val="PageNumber"/>
        <w:sz w:val="20"/>
      </w:rPr>
      <w:instrText xml:space="preserve"> PAGE </w:instrText>
    </w:r>
    <w:r w:rsidR="0091445F" w:rsidRPr="00D07FE4">
      <w:rPr>
        <w:rStyle w:val="PageNumber"/>
        <w:sz w:val="20"/>
      </w:rPr>
      <w:fldChar w:fldCharType="separate"/>
    </w:r>
    <w:r w:rsidR="00CA17E5">
      <w:rPr>
        <w:rStyle w:val="PageNumber"/>
        <w:noProof/>
        <w:sz w:val="20"/>
      </w:rPr>
      <w:t>3</w:t>
    </w:r>
    <w:r w:rsidR="0091445F" w:rsidRPr="00D07FE4">
      <w:rPr>
        <w:rStyle w:val="PageNumber"/>
        <w:sz w:val="20"/>
      </w:rPr>
      <w:fldChar w:fldCharType="end"/>
    </w:r>
    <w:r w:rsidR="0091445F" w:rsidRPr="00D07FE4">
      <w:rPr>
        <w:rStyle w:val="PageNumber"/>
        <w:sz w:val="20"/>
      </w:rPr>
      <w:t xml:space="preserve"> of </w:t>
    </w:r>
    <w:r w:rsidR="0091445F" w:rsidRPr="00D07FE4">
      <w:rPr>
        <w:rStyle w:val="PageNumber"/>
        <w:sz w:val="20"/>
      </w:rPr>
      <w:fldChar w:fldCharType="begin"/>
    </w:r>
    <w:r w:rsidR="0091445F" w:rsidRPr="00D07FE4">
      <w:rPr>
        <w:rStyle w:val="PageNumber"/>
        <w:sz w:val="20"/>
      </w:rPr>
      <w:instrText xml:space="preserve"> NUMPAGES </w:instrText>
    </w:r>
    <w:r w:rsidR="0091445F" w:rsidRPr="00D07FE4">
      <w:rPr>
        <w:rStyle w:val="PageNumber"/>
        <w:sz w:val="20"/>
      </w:rPr>
      <w:fldChar w:fldCharType="separate"/>
    </w:r>
    <w:r w:rsidR="00CA17E5">
      <w:rPr>
        <w:rStyle w:val="PageNumber"/>
        <w:noProof/>
        <w:sz w:val="20"/>
      </w:rPr>
      <w:t>4</w:t>
    </w:r>
    <w:r w:rsidR="0091445F" w:rsidRPr="00D07FE4">
      <w:rPr>
        <w:rStyle w:val="PageNumber"/>
        <w:sz w:val="20"/>
      </w:rPr>
      <w:fldChar w:fldCharType="end"/>
    </w:r>
  </w:p>
  <w:p w:rsidR="003243A0" w:rsidRDefault="007107A0" w:rsidP="007107A0">
    <w:pPr>
      <w:pStyle w:val="Header"/>
      <w:spacing w:before="0" w:line="240" w:lineRule="auto"/>
      <w:rPr>
        <w:rStyle w:val="PageNumber"/>
      </w:rPr>
    </w:pPr>
    <w:r>
      <w:rPr>
        <w:sz w:val="20"/>
      </w:rPr>
      <w:t>SOAH Docket No. 473-16-5011.WS</w:t>
    </w:r>
  </w:p>
  <w:p w:rsidR="003243A0" w:rsidRDefault="00CA17E5">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259031DC"/>
    <w:multiLevelType w:val="hybridMultilevel"/>
    <w:tmpl w:val="F660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7A0"/>
    <w:rsid w:val="000061ED"/>
    <w:rsid w:val="00037293"/>
    <w:rsid w:val="00085C6E"/>
    <w:rsid w:val="00095DBC"/>
    <w:rsid w:val="001169BE"/>
    <w:rsid w:val="00180A15"/>
    <w:rsid w:val="00246826"/>
    <w:rsid w:val="002D0AD0"/>
    <w:rsid w:val="00312B86"/>
    <w:rsid w:val="00323E4D"/>
    <w:rsid w:val="004E09C4"/>
    <w:rsid w:val="00501480"/>
    <w:rsid w:val="005363FC"/>
    <w:rsid w:val="00571794"/>
    <w:rsid w:val="005F698F"/>
    <w:rsid w:val="0066305C"/>
    <w:rsid w:val="00680529"/>
    <w:rsid w:val="007107A0"/>
    <w:rsid w:val="007D6D1F"/>
    <w:rsid w:val="00907668"/>
    <w:rsid w:val="0091445F"/>
    <w:rsid w:val="0091618D"/>
    <w:rsid w:val="009338C1"/>
    <w:rsid w:val="009629F2"/>
    <w:rsid w:val="00994C54"/>
    <w:rsid w:val="009A369B"/>
    <w:rsid w:val="00A705AE"/>
    <w:rsid w:val="00AA480C"/>
    <w:rsid w:val="00AE662B"/>
    <w:rsid w:val="00CA17E5"/>
    <w:rsid w:val="00CA6CFE"/>
    <w:rsid w:val="00CB0544"/>
    <w:rsid w:val="00DF4C56"/>
    <w:rsid w:val="00E8616C"/>
    <w:rsid w:val="00EF2771"/>
    <w:rsid w:val="00F22336"/>
    <w:rsid w:val="00F2363A"/>
    <w:rsid w:val="00F86DC2"/>
    <w:rsid w:val="00FD7331"/>
    <w:rsid w:val="00FE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BA6AEB8-5E50-4885-94F2-DA069B73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7A0"/>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7107A0"/>
    <w:rPr>
      <w:position w:val="6"/>
      <w:sz w:val="17"/>
    </w:rPr>
  </w:style>
  <w:style w:type="paragraph" w:styleId="FootnoteText">
    <w:name w:val="footnote text"/>
    <w:basedOn w:val="Normal"/>
    <w:link w:val="FootnoteTextChar"/>
    <w:rsid w:val="007107A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rsid w:val="007107A0"/>
    <w:rPr>
      <w:rFonts w:ascii="Times New Roman" w:eastAsia="Times New Roman" w:hAnsi="Times New Roman" w:cs="Times New Roman"/>
      <w:sz w:val="20"/>
      <w:szCs w:val="20"/>
    </w:rPr>
  </w:style>
  <w:style w:type="paragraph" w:styleId="Header">
    <w:name w:val="header"/>
    <w:basedOn w:val="Normal"/>
    <w:link w:val="HeaderChar"/>
    <w:rsid w:val="007107A0"/>
    <w:pPr>
      <w:keepLines/>
      <w:tabs>
        <w:tab w:val="center" w:pos="4680"/>
        <w:tab w:val="right" w:pos="9360"/>
      </w:tabs>
      <w:spacing w:line="240" w:lineRule="exact"/>
    </w:pPr>
    <w:rPr>
      <w:b/>
    </w:rPr>
  </w:style>
  <w:style w:type="character" w:customStyle="1" w:styleId="HeaderChar">
    <w:name w:val="Header Char"/>
    <w:basedOn w:val="DefaultParagraphFont"/>
    <w:link w:val="Header"/>
    <w:rsid w:val="007107A0"/>
    <w:rPr>
      <w:rFonts w:ascii="Times New Roman" w:eastAsia="Times New Roman" w:hAnsi="Times New Roman" w:cs="Times New Roman"/>
      <w:b/>
      <w:sz w:val="24"/>
      <w:szCs w:val="20"/>
    </w:rPr>
  </w:style>
  <w:style w:type="paragraph" w:styleId="Footer">
    <w:name w:val="footer"/>
    <w:basedOn w:val="Normal"/>
    <w:link w:val="FooterChar"/>
    <w:rsid w:val="007107A0"/>
    <w:pPr>
      <w:tabs>
        <w:tab w:val="center" w:pos="4320"/>
        <w:tab w:val="right" w:pos="8640"/>
      </w:tabs>
      <w:spacing w:before="0"/>
      <w:ind w:left="360" w:hanging="360"/>
    </w:pPr>
  </w:style>
  <w:style w:type="character" w:customStyle="1" w:styleId="FooterChar">
    <w:name w:val="Footer Char"/>
    <w:basedOn w:val="DefaultParagraphFont"/>
    <w:link w:val="Footer"/>
    <w:rsid w:val="007107A0"/>
    <w:rPr>
      <w:rFonts w:ascii="Times New Roman" w:eastAsia="Times New Roman" w:hAnsi="Times New Roman" w:cs="Times New Roman"/>
      <w:sz w:val="24"/>
      <w:szCs w:val="20"/>
    </w:rPr>
  </w:style>
  <w:style w:type="character" w:styleId="PageNumber">
    <w:name w:val="page number"/>
    <w:basedOn w:val="DefaultParagraphFont"/>
    <w:rsid w:val="007107A0"/>
  </w:style>
  <w:style w:type="paragraph" w:customStyle="1" w:styleId="ItemList">
    <w:name w:val="Item List"/>
    <w:basedOn w:val="Normal"/>
    <w:rsid w:val="007107A0"/>
    <w:pPr>
      <w:spacing w:before="360"/>
      <w:ind w:left="720" w:hanging="720"/>
    </w:pPr>
  </w:style>
  <w:style w:type="paragraph" w:styleId="BodyText">
    <w:name w:val="Body Text"/>
    <w:basedOn w:val="Normal"/>
    <w:link w:val="BodyTextChar"/>
    <w:qFormat/>
    <w:rsid w:val="007107A0"/>
    <w:pPr>
      <w:spacing w:before="0"/>
    </w:pPr>
  </w:style>
  <w:style w:type="character" w:customStyle="1" w:styleId="BodyTextChar">
    <w:name w:val="Body Text Char"/>
    <w:basedOn w:val="DefaultParagraphFont"/>
    <w:link w:val="BodyText"/>
    <w:rsid w:val="007107A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629F2"/>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9F2"/>
    <w:rPr>
      <w:rFonts w:ascii="Segoe UI" w:eastAsia="Times New Roman" w:hAnsi="Segoe UI" w:cs="Segoe UI"/>
      <w:sz w:val="18"/>
      <w:szCs w:val="18"/>
    </w:rPr>
  </w:style>
  <w:style w:type="paragraph" w:styleId="ListParagraph">
    <w:name w:val="List Paragraph"/>
    <w:basedOn w:val="Normal"/>
    <w:uiPriority w:val="34"/>
    <w:qFormat/>
    <w:rsid w:val="009A3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87A39-1D44-4111-851D-B3BFE38F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Turner, Hannah</cp:lastModifiedBy>
  <cp:revision>29</cp:revision>
  <cp:lastPrinted>2016-07-12T21:19:00Z</cp:lastPrinted>
  <dcterms:created xsi:type="dcterms:W3CDTF">2016-07-12T14:29:00Z</dcterms:created>
  <dcterms:modified xsi:type="dcterms:W3CDTF">2016-07-12T21:49:00Z</dcterms:modified>
</cp:coreProperties>
</file>